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72d1_s8pos.htm"/>
      <w:bookmarkStart w:id="1" w:name="kstm2624972d1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333-255664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333-263844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333-270815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333-278111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333-285968</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333-255664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333-263844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333-270815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333-278111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333-285968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2660"/>
        <w:gridCol w:w="60"/>
        <w:gridCol w:w="288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England and Wales</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of registrant’s principal executive offices)</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Award Plan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Employee Share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EMI Share Option Scheme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Enright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443 917-0966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E. Puopolo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Marishka DeToy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Janet Hsueh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Northern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570-1000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registration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Post-Effective Amendments (the “Post-Effective Amendments”) relate to the following Registration Statements (collectively, the “Registration Statements”) filed by Barinthus Biotherapeutics plc (the “Company”) with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333-255664, filed with the SEC on April 30, 2021, registering (i) 1,895,097 ordinary shares of the Company, nominal value £0.000025 per share (“Ordinary Shares”), represented by 1,895,097 American Depositary Shares of the Company (“ADSs”), issuable pursuant to the Company’s EMI Share Option Scheme (the “EMI Scheme”); (ii) 3,675,680 Ordinary Shares represented by 3,675,680 ADSs pursuant to the Company’s Share Award Plan (the “2021 Plan”); and (iii) 367,568 Ordinary Shares represented by 367,568 ADSs pursuant to the Company’s 2021 Employee Share Purchase Plan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333-263844, filed with the SEC on March 25, 2022, registering (i) 1,487,549 Ordinary Shares represented by 1,487,549 ADSs issuable pursuant to the 2021 Plan; and (ii) 371,887 Ordinary Shares represented by 371,887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333-270815, filed with the SEC on March 24, 2023, registering (i) 1,507,341 Ordinary Shares represented by 1,507,341 ADSs issuable pursuant to the 2021 Plan; and (ii) 376,835 Ordinary Shares represented by 376,835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333-278111, filed with the SEC on March 20, 2024, registering (i) 1,544,282 Ordinary Shares represented by 1,544,282 ADSs issuable pursuant to the 2021 Plan; and (ii) 386,071 Ordinary Shares represented by 386,071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333-285968, filed with the SEC on March 20, 2025, registering (i) 1,609,386 Ordinary Shares represented by 1,609,386 ADSs issuable pursuant to the 2021 Plan; and (ii) 402,346 Ordinary Shares represented by 402,346 ADSs issuable pursuant to the 2021 ESPP.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pursuant to the Agreement and Plan of Merger, dated as of September 29, 2025, as amended (the “Merger Agreement”), by and among the Company, Beacon Topco, Inc., a Delaware corporation and a direct wholly-owned subsidiary of Beacon (“Topco”), Cdog Merger Sub, Inc., a Delaware corporation and a direct wholly-owned subsidiary of Topco, and Clywedog Therapeutics, Inc., a Delaware corporation, the scheme of arrangement under Part 26 of the United Kingdom Companies Act 2006 (the “Scheme”) became effective. As a result of the effectiveness of the Scheme, Topco acquired the entire issued and to be issued share capital of the Company, and the Company became a direct wholly-owned subsidiary of Topco.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effectiveness of the Scheme, the Company has terminated all of the offerings and sales of the Company’s securities pursuant to the Registration Statements. In accordance with the undertakings made by the Company in each of the Registration Statements to remove from registration, by means of a post-effective amendment, any of the securities of the Company registered under such Registration Statements which remain unsold at the termination of the offering, the Company hereby removes from registration, by means of these Post-Effective Amendments, all of the securities of the Company registered under the Registration Statements that remain unsold as of the date of these Post-Effective Amendments, if any. The Registration Statements are hereby amended, as appropriate, to reflect the deregistration of such securities, and the Company hereby terminates the effectiveness of each of the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Germantown, State of Maryland, on September 9, 2026.</w:t>
      </w:r>
    </w:p>
    <w:p>
      <w:pPr>
        <w:pStyle w:val="TextBody"/>
        <w:bidi w:val="0"/>
        <w:spacing w:before="0" w:after="0"/>
        <w:ind w:left="0" w:right="0" w:hanging="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75"/>
        <w:gridCol w:w="340"/>
        <w:gridCol w:w="2125"/>
      </w:tblGrid>
      <w:tr>
        <w:trPr/>
        <w:tc>
          <w:tcPr>
            <w:tcW w:w="75" w:type="dxa"/>
            <w:tcBorders/>
            <w:vAlign w:val="center"/>
          </w:tcPr>
          <w:p>
            <w:pPr>
              <w:pStyle w:val="TableContents"/>
              <w:bidi w:val="0"/>
              <w:spacing w:before="0" w:after="283"/>
              <w:jc w:val="left"/>
              <w:rPr/>
            </w:pPr>
            <w:r>
              <w:rPr/>
              <w:t> </w:t>
            </w:r>
          </w:p>
        </w:tc>
        <w:tc>
          <w:tcPr>
            <w:tcW w:w="24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Barinthus Biotherapeutics plc</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to the Registration Statements in reliance upon Rule 478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979</Words>
  <Characters>5660</Characters>
  <CharactersWithSpaces>6616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