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57-2_4seq1.xml.htm"/>
      <w:bookmarkStart w:id="1" w:name="kstm262505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Enright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BARINTHUS BIOTHERAPEUTICS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20400 CENTURY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Barinthus Biotherapeutics plc.</w:t>
              </w:r>
            </w:hyperlink>
            <w:r>
              <w:rPr/>
              <w:t xml:space="preserve"> [ </w:t>
            </w:r>
            <w:r>
              <w:rPr>
                <w:rFonts w:ascii="Times;serif" w:hAnsi="Times;serif"/>
                <w:color w:val="0000FF"/>
                <w:sz w:val="24"/>
                <w:shd w:fill="FFFFFF" w:val="clear"/>
              </w:rPr>
              <w:t>BRNS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4"/>
        <w:gridCol w:w="773"/>
        <w:gridCol w:w="600"/>
        <w:gridCol w:w="349"/>
        <w:gridCol w:w="1059"/>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728,454</w:t>
            </w:r>
            <w:r>
              <w:rPr>
                <w:rFonts w:ascii="Times;serif" w:hAnsi="Times;serif"/>
                <w:color w:val="008000"/>
                <w:position w:val="7"/>
                <w:sz w:val="16"/>
                <w:sz w:val="20"/>
                <w:shd w:fill="FFFFFF" w:val="clear"/>
              </w:rPr>
              <w:t>(3)</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514,923</w:t>
            </w:r>
            <w:r>
              <w:rPr>
                <w:rFonts w:ascii="Times;serif" w:hAnsi="Times;serif"/>
                <w:color w:val="008000"/>
                <w:position w:val="7"/>
                <w:sz w:val="16"/>
                <w:sz w:val="20"/>
                <w:shd w:fill="FFFFFF" w:val="clear"/>
              </w:rPr>
              <w:t>(3)</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bl>
    <w:tbl>
      <w:tblPr>
        <w:tblW w:w="122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176,130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176,130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359,605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359,605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443,981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443,981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may be represented by American Depositary Shares ("ADSs" and together with the Ordinary Shares, the "Shares"), each of which currently represents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reports securities transacted in connection with the Agreement and Plan of Merger, dated September 29, 2025, as amended (the "Merger Agreement") by and among the Issuer, Beacon Topco, Inc. ("Topco"), a Delaware corporation and a direct wholly owned subsidiary of the Issuer, Cdog Merger Sub, Inc., a Delaware corporation and a direct wholly owned subsidiary of Topco, and Clywedog Therapeutics, Inc., a Delaware corporation. On September 9, 2026 (the "Effective Time"), in connection with the effectiveness of the scheme of arrangement under Part 26 of the United Kingdom Companies Act 2006 (the "Scheme") contemplated by the Merger Agreement, Topco acquired the entire issued share capital of the Issuer, resulting in the Issuer becoming a direct wholly owned subsidiary of Topco.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and in connection with the effectiveness of the Scheme, at the Effective Time, each Share of the Issuer was converted into the right to receive 0.111 shares of common stock, $0.0001 par value per share, of Topco (the "Topco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William J Enright TR UA Dated 03/04/2021 Enright Family 2021 Irrevocable Trust, of which the Reporting Person serves as trustee. The Reporting Person disclaims beneficial ownership of the shares held by such trust for purposes of Section 16 of the Exchange Act,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William Enright Revocable Trust, of which the Reporting Person serves as trustee. The Reporting Person disclaims beneficial ownership of the shares held by such trust for purposes of Section 16 of the Exchange Act,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Merger Agreement, at the Effective Time, each option to acquire Shares under the Issuer's equity plans that was outstanding as of immediately prior to the Effective Time ceased to represent a right to acquire Shares of the Issuer, and was converted into an option to acquire shares of Topco Common Stock and assumed by Topco on the same terms and conditions (including applicable vesting and exercisability conditions) as were applicable to such option immediately prior to the Effective Time.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Enright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564" TargetMode="External"/><Relationship Id="rId5" Type="http://schemas.openxmlformats.org/officeDocument/2006/relationships/hyperlink" Target="http://www.sec.gov/cgi-bin/browse-edgar?action=getcompany&amp;CIK=00018281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1050</Words>
  <Characters>5660</Characters>
  <CharactersWithSpaces>6567</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