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72d4_s8pos.htm"/>
      <w:bookmarkStart w:id="1" w:name="kstm2624972d4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333-255664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333-270815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333-278111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333-285968</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333-255664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333-270815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333-278111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333-285968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660"/>
        <w:gridCol w:w="60"/>
        <w:gridCol w:w="288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England and Wales</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of registrant’s principal executive offices)</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Award Plan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Share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 Share Option Scheme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Enright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Janet Hsueh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registration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Post-Effective Amendments (the “Post-Effective Amendments”) relate to the following Registration Statements (collectively, the “Registration Statements”) filed by Barinthus Biotherapeutics plc (the “Company”)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333-255664, filed with the SEC on April 30, 2021, registering (i) 1,895,097 ordinary shares of the Company, nominal value £0.000025 per share (“Ordinary Shares”), represented by 1,895,097 American Depositary Shares of the Company (“ADSs”), issuable pursuant to the Company’s EMI Share Option Scheme (the “EMI Scheme”); (ii) 3,675,680 Ordinary Shares represented by 3,675,680 ADSs pursuant to the Company’s Share Award Plan (the “2021 Plan”); and (iii) 367,568 Ordinary Shares represented by 367,568 ADSs pursuant to the Company’s 2021 Employee Share Purchase Plan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333-263844, filed with the SEC on March 25, 2022, registering (i) 1,487,549 Ordinary Shares represented by 1,487,549 ADSs issuable pursuant to the 2021 Plan; and (ii) 371,887 Ordinary Shares represented by 371,887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333-270815, filed with the SEC on March 24, 2023, registering (i) 1,507,341 Ordinary Shares represented by 1,507,341 ADSs issuable pursuant to the 2021 Plan; and (ii) 376,835 Ordinary Shares represented by 376,835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333-278111, filed with the SEC on March 20, 2024, registering (i) 1,544,282 Ordinary Shares represented by 1,544,282 ADSs issuable pursuant to the 2021 Plan; and (ii) 386,071 Ordinary Shares represented by 386,071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333-285968, filed with the SEC on March 20, 2025, registering (i) 1,609,386 Ordinary Shares represented by 1,609,386 ADSs issuable pursuant to the 2021 Plan; and (ii) 402,346 Ordinary Shares represented by 402,346 ADSs issuable pursuant to the 2021 ESPP.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the Agreement and Plan of Merger, dated as of September 29, 2025, as amended (the “Merger Agreement”), by and among the Company, Beacon Topco, Inc., a Delaware corporation and a direct wholly-owned subsidiary of Beacon (“Topco”), Cdog Merger Sub, Inc., a Delaware corporation and a direct wholly-owned subsidiary of Topco, and Clywedog Therapeutics, Inc., a Delaware corporation, the scheme of arrangement under Part 26 of the United Kingdom Companies Act 2006 (the “Scheme”) became effective. As a result of the effectiveness of the Scheme, Topco acquired the entire issued and to be issued share capital of the Company, and the Company became a direct wholly-owned subsidiary of Topco.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effectiveness of the Scheme,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Germantown, State of Maryland, on September 9, 2026.</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340"/>
        <w:gridCol w:w="2125"/>
      </w:tblGrid>
      <w:tr>
        <w:trPr/>
        <w:tc>
          <w:tcPr>
            <w:tcW w:w="75"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to the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979</Words>
  <Characters>5660</Characters>
  <CharactersWithSpaces>6616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