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Barinthus Biotherapeutics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Robert Giffen Collins</w:t>
      </w:r>
    </w:p>
    <w:p>
      <w:pPr>
        <w:spacing w:after="0" w:line="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1901 Ulmerton Road, Suite 400,</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Clearwater, FL, 33762</w:t>
      </w:r>
    </w:p>
    <w:p>
      <w:pPr>
        <w:spacing w:after="0" w:line="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0000FF"/>
        </w:rPr>
        <w:t>8138178035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International Generosity Foundation Trust</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2,734,189.00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2,734,189.00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2,734,189.00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Barinthus Biotherapeutics plc.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20400 CENTURY BLVD, SUITE 210, GERMANTOWN, MARYLAND , 20874.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Generosity Foundation Trust</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1901 Ulmerton Road, Suite 400, Clearwater, Florida 33762, USA</w:t>
      </w:r>
    </w:p>
    <w:p>
      <w:pPr>
        <w:spacing w:after="0" w:line="44" w:lineRule="exact"/>
        <w:rPr>
          <w:rFonts w:ascii="Times New Roman" w:cs="Times New Roman" w:eastAsia="Times New Roman" w:hAnsi="Times New Roman"/>
          <w:sz w:val="22"/>
          <w:szCs w:val="22"/>
          <w:color w:val="auto"/>
        </w:rPr>
      </w:pPr>
    </w:p>
    <w:p>
      <w:pPr>
        <w:ind w:left="94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is a non-profit trust organized under Section 501(c) of the Internal Revenue Code. Its affairs are managed by its trustee.</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been convicted in any criminal proceeding during the last five years.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been a party to any civil proceeding of a judicial or administrative body of competent</w:t>
      </w:r>
    </w:p>
    <w:p>
      <w:pPr>
        <w:spacing w:after="0" w:line="14" w:lineRule="exact"/>
        <w:rPr>
          <w:rFonts w:ascii="Times New Roman" w:cs="Times New Roman" w:eastAsia="Times New Roman" w:hAnsi="Times New Roman"/>
          <w:sz w:val="22"/>
          <w:szCs w:val="22"/>
          <w:color w:val="auto"/>
        </w:rPr>
      </w:pPr>
    </w:p>
    <w:p>
      <w:pPr>
        <w:ind w:left="940" w:right="26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during the last five years resulting in a judgment, decree or final order enjoining future violations of, or prohibiting or mandating activities subject to, federal or state securities laws.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00"/>
        <w:spacing w:after="0" w:line="282" w:lineRule="auto"/>
        <w:rPr>
          <w:sz w:val="20"/>
          <w:szCs w:val="20"/>
          <w:color w:val="auto"/>
        </w:rPr>
      </w:pPr>
      <w:r>
        <w:rPr>
          <w:rFonts w:ascii="Times New Roman" w:cs="Times New Roman" w:eastAsia="Times New Roman" w:hAnsi="Times New Roman"/>
          <w:sz w:val="21"/>
          <w:szCs w:val="21"/>
          <w:color w:val="auto"/>
        </w:rPr>
        <w:t>The securities reported herein were acquired by the Reporting Person through a combination of purchases and transfers. A portion of the securities was acquired using the working capital of the Reporting Person. The Reporting</w:t>
      </w:r>
    </w:p>
    <w:p>
      <w:pPr>
        <w:sectPr>
          <w:pgSz w:w="11900" w:h="16838" w:orient="portrait"/>
          <w:cols w:equalWidth="0" w:num="1">
            <w:col w:w="11160"/>
          </w:cols>
          <w:pgMar w:left="360" w:top="111" w:right="379" w:bottom="0" w:gutter="0" w:footer="0" w:header="0"/>
          <w:type w:val="continuous"/>
        </w:sectPr>
      </w:pPr>
    </w:p>
    <w:bookmarkStart w:id="2" w:name="page3"/>
    <w:bookmarkEnd w:id="2"/>
    <w:p>
      <w:pPr>
        <w:ind w:left="940" w:right="40"/>
        <w:spacing w:after="0" w:line="244" w:lineRule="auto"/>
        <w:rPr>
          <w:sz w:val="20"/>
          <w:szCs w:val="20"/>
          <w:color w:val="auto"/>
        </w:rPr>
      </w:pPr>
      <w:r>
        <w:rPr>
          <w:rFonts w:ascii="Times New Roman" w:cs="Times New Roman" w:eastAsia="Times New Roman" w:hAnsi="Times New Roman"/>
          <w:sz w:val="22"/>
          <w:szCs w:val="22"/>
          <w:color w:val="auto"/>
        </w:rPr>
        <w:t>Person is a non-profit trust generally funded through donations, including donor-advised funds. The remaining securities were acquired through transfers or contributions to the Reporting Person and were not acquired through the use of funds.</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40" w:right="100"/>
        <w:spacing w:after="0" w:line="249" w:lineRule="auto"/>
        <w:rPr>
          <w:sz w:val="20"/>
          <w:szCs w:val="20"/>
          <w:color w:val="auto"/>
        </w:rPr>
      </w:pPr>
      <w:r>
        <w:rPr>
          <w:rFonts w:ascii="Times New Roman" w:cs="Times New Roman" w:eastAsia="Times New Roman" w:hAnsi="Times New Roman"/>
          <w:sz w:val="21"/>
          <w:szCs w:val="21"/>
          <w:color w:val="auto"/>
        </w:rPr>
        <w:t>The Reporting Person acquired the securities for investment purposes and in connection with its charitable activities. The Reporting Person may, from time to time, sell or otherwise dispose of some or all of the securities, including to support its charitable purposes, or acquire additional securities, depending on market conditions and other factors.</w:t>
      </w:r>
    </w:p>
    <w:p>
      <w:pPr>
        <w:spacing w:after="0" w:line="1" w:lineRule="exact"/>
        <w:rPr>
          <w:sz w:val="20"/>
          <w:szCs w:val="20"/>
          <w:color w:val="auto"/>
        </w:rPr>
      </w:pPr>
    </w:p>
    <w:p>
      <w:pPr>
        <w:jc w:val="both"/>
        <w:ind w:left="940" w:right="100"/>
        <w:spacing w:after="0" w:line="237" w:lineRule="auto"/>
        <w:rPr>
          <w:sz w:val="20"/>
          <w:szCs w:val="20"/>
          <w:color w:val="auto"/>
        </w:rPr>
      </w:pPr>
      <w:r>
        <w:rPr>
          <w:rFonts w:ascii="Times New Roman" w:cs="Times New Roman" w:eastAsia="Times New Roman" w:hAnsi="Times New Roman"/>
          <w:sz w:val="22"/>
          <w:szCs w:val="22"/>
          <w:color w:val="auto"/>
        </w:rPr>
        <w:t>Except as set forth above, the Reporting Person has no present plans or proposals that relate to or would result in any of the actions described in Items 4(a) through (j) of Schedule 13D.</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Number of Shares Owned: 2,734,189 Percentage of Class of Securities Identified: 6.7</w:t>
      </w:r>
    </w:p>
    <w:p>
      <w:pPr>
        <w:spacing w:after="0" w:line="44" w:lineRule="exact"/>
        <w:rPr>
          <w:rFonts w:ascii="Times New Roman" w:cs="Times New Roman" w:eastAsia="Times New Roman" w:hAnsi="Times New Roman"/>
          <w:sz w:val="22"/>
          <w:szCs w:val="22"/>
          <w:color w:val="auto"/>
        </w:rPr>
      </w:pPr>
    </w:p>
    <w:p>
      <w:pPr>
        <w:ind w:left="940" w:right="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sole voting power with respect to 2,734,189 shares, shared voting power with respect to 0 shares, sole dispositive power with respect to 2,734,189 shares, and shared dispositive power with respect to 0 shares.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effected any transactions in the securities of the Issuer during the past 60 days.</w:t>
      </w:r>
    </w:p>
    <w:p>
      <w:pPr>
        <w:spacing w:after="0" w:line="44" w:lineRule="exact"/>
        <w:rPr>
          <w:rFonts w:ascii="Times New Roman" w:cs="Times New Roman" w:eastAsia="Times New Roman" w:hAnsi="Times New Roman"/>
          <w:sz w:val="22"/>
          <w:szCs w:val="22"/>
          <w:color w:val="auto"/>
        </w:rPr>
      </w:pPr>
    </w:p>
    <w:p>
      <w:pPr>
        <w:ind w:left="940" w:right="5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40"/>
        <w:spacing w:after="0" w:line="256" w:lineRule="auto"/>
        <w:rPr>
          <w:sz w:val="20"/>
          <w:szCs w:val="20"/>
          <w:color w:val="auto"/>
        </w:rPr>
      </w:pPr>
      <w:r>
        <w:rPr>
          <w:rFonts w:ascii="Times New Roman" w:cs="Times New Roman" w:eastAsia="Times New Roman" w:hAnsi="Times New Roman"/>
          <w:sz w:val="22"/>
          <w:szCs w:val="22"/>
          <w:color w:val="auto"/>
        </w:rPr>
        <w:t>The Reporting Person does not have any contracts, arrangements, understandings or relationships (legal or otherwise) with respect to any securities of the Issuer, other than as described in this Schedule 13D.</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None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International Generosity Foundation Trust</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Giffen Collins</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Robert Giffen Collins</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04/13/2026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2026-04-13T14:35:18Z</dcterms:created>
  <dcterms:modified xsi:type="dcterms:W3CDTF">2026-04-13T14:35:18Z</dcterms:modified>
</cp:coreProperties>
</file>