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972d2_s8pos.htm"/>
      <w:bookmarkStart w:id="1" w:name="kstm2624972d2_s8pos"/>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333-255664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333-263844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333-270815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333-278111</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333-285968</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333-255664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333-263844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333-270815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333-278111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333-285968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BARINTHUS BIOTHERAPEUTICS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2660"/>
        <w:gridCol w:w="60"/>
        <w:gridCol w:w="2885"/>
      </w:tblGrid>
      <w:tr>
        <w:trPr/>
        <w:tc>
          <w:tcPr>
            <w:tcW w:w="2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England and Wales</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20400 Century Blvd, Suite 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Germantown, MD 20874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of registrant’s principal executive offices)</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Award Plan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Employee Share Purchase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EMI Share Option Scheme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Enright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20400 Century Blvd, Suite 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Germantown, MD 20874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443 917-0966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E. Puopolo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Marishka DeToy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Janet Hsueh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Goodwin Procter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 Northern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 02210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570-1000</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registration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Post-Effective Amendments (the “Post-Effective Amendments”) relate to the following Registration Statements (collectively, the “Registration Statements”) filed by Barinthus Biotherapeutics plc (the “Company”) with the Securities and Exchange Commission (the “SEC”):</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333-255664, filed with the SEC on April 30, 2021, registering (i) 1,895,097 ordinary shares of the Company, nominal value £0.000025 per share (“Ordinary Shares”), represented by 1,895,097 American Depositary Shares of the Company (“ADSs”), issuable pursuant to the Company’s EMI Share Option Scheme (the “EMI Scheme”); (ii) 3,675,680 Ordinary Shares represented by 3,675,680 ADSs pursuant to the Company’s Share Award Plan (the “2021 Plan”); and (iii) 367,568 Ordinary Shares represented by 367,568 ADSs pursuant to the Company’s 2021 Employee Share Purchase Plan (the “2021 ESPP”).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333-263844, filed with the SEC on March 25, 2022, registering (i) 1,487,549 Ordinary Shares represented by 1,487,549 ADSs issuable pursuant to the 2021 Plan; and (ii) 371,887 Ordinary Shares represented by 371,887 ADSs issuable pursuant to the 2021 ESPP.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333-270815, filed with the SEC on March 24, 2023, registering (i) 1,507,341 Ordinary Shares represented by 1,507,341 ADSs issuable pursuant to the 2021 Plan; and (ii) 376,835 Ordinary Shares represented by 376,835 ADSs issuable pursuant to the 2021 ESPP.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333-278111, filed with the SEC on March 20, 2024, registering (i) 1,544,282 Ordinary Shares represented by 1,544,282 ADSs issuable pursuant to the 2021 Plan; and (ii) 386,071 Ordinary Shares represented by 386,071 ADSs issuable pursuant to the 2021 ESPP.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333-285968, filed with the SEC on March 20, 2025, registering (i) 1,609,386 Ordinary Shares represented by 1,609,386 ADSs issuable pursuant to the 2021 Plan; and (ii) 402,346 Ordinary Shares represented by 402,346 ADSs issuable pursuant to the 2021 ESPP.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pursuant to the Agreement and Plan of Merger, dated as of September 29, 2025, as amended (the “Merger Agreement”), by and among the Company, Beacon Topco, Inc., a Delaware corporation and a direct wholly-owned subsidiary of Beacon (“Topco”), Cdog Merger Sub, Inc., a Delaware corporation and a direct wholly-owned subsidiary of Topco, and Clywedog Therapeutics, Inc., a Delaware corporation, the scheme of arrangement under Part 26 of the United Kingdom Companies Act 2006 (the “Scheme”) became effective. As a result of the effectiveness of the Scheme, Topco acquired the entire issued and to be issued share capital of the Company, and the Company became a direct wholly-owned subsidiary of Topco.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effectiveness of the Scheme, the Company has terminated all of the offerings and sales of the Company’s securities pursuant to the Registration Statements. In accordance with the undertakings made by the Company in each of the Registration Statements to remove from registration, by means of a post-effective amendment, any of the securities of the Company registered under such Registration Statements which remain unsold at the termination of the offering, the Company hereby removes from registration, by means of these Post-Effective Amendments, all of the securities of the Company registered under the Registration Statements that remain unsold as of the date of these Post-Effective Amendments, if any. The Registration Statements are hereby amended, as appropriate, to reflect the deregistration of such securities, and the Company hereby terminates the effectiveness of each of the Registration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Germantown, State of Maryland, on September 9, 2026.</w:t>
      </w:r>
    </w:p>
    <w:p>
      <w:pPr>
        <w:pStyle w:val="TextBody"/>
        <w:bidi w:val="0"/>
        <w:spacing w:before="0" w:after="0"/>
        <w:ind w:left="0" w:right="0" w:hanging="0"/>
        <w:jc w:val="left"/>
        <w:rPr>
          <w:caps w:val="false"/>
          <w:smallCaps w:val="false"/>
        </w:rPr>
      </w:pPr>
      <w:r>
        <w:rPr>
          <w:caps w:val="false"/>
          <w:smallCaps w:val="false"/>
        </w:rPr>
        <w:t> </w:t>
      </w:r>
    </w:p>
    <w:tbl>
      <w:tblPr>
        <w:tblW w:w="2540" w:type="dxa"/>
        <w:jc w:val="left"/>
        <w:tblInd w:w="0" w:type="dxa"/>
        <w:tblLayout w:type="fixed"/>
        <w:tblCellMar>
          <w:top w:w="0" w:type="dxa"/>
          <w:left w:w="0" w:type="dxa"/>
          <w:bottom w:w="0" w:type="dxa"/>
          <w:right w:w="0" w:type="dxa"/>
        </w:tblCellMar>
      </w:tblPr>
      <w:tblGrid>
        <w:gridCol w:w="75"/>
        <w:gridCol w:w="340"/>
        <w:gridCol w:w="2125"/>
      </w:tblGrid>
      <w:tr>
        <w:trPr/>
        <w:tc>
          <w:tcPr>
            <w:tcW w:w="75" w:type="dxa"/>
            <w:tcBorders/>
            <w:vAlign w:val="center"/>
          </w:tcPr>
          <w:p>
            <w:pPr>
              <w:pStyle w:val="TableContents"/>
              <w:bidi w:val="0"/>
              <w:spacing w:before="0" w:after="283"/>
              <w:jc w:val="left"/>
              <w:rPr/>
            </w:pPr>
            <w:r>
              <w:rPr/>
              <w:t> </w:t>
            </w:r>
          </w:p>
        </w:tc>
        <w:tc>
          <w:tcPr>
            <w:tcW w:w="24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Barinthus Biotherapeutics plc</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William Enright</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Enright</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these Post-Effective Amendments to the Registration Statements in reliance upon Rule 478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979</Words>
  <Characters>5660</Characters>
  <CharactersWithSpaces>6616</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