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primary_doc.xml.htm"/>
      <w:bookmarkStart w:id="1" w:name="ksprimary_doc"/>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Oxford Science Enterprises plc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46 WOODSTOCK ROAD</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OXFORD</w:t>
                  </w:r>
                </w:p>
              </w:tc>
              <w:tc>
                <w:tcPr>
                  <w:tcW w:w="1150"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OX2 6HT</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UNITED KINGDOM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Barinthus Biotherapeutics plc.</w:t>
              </w:r>
            </w:hyperlink>
            <w:r>
              <w:rPr/>
              <w:t xml:space="preserve"> [ </w:t>
            </w:r>
            <w:r>
              <w:rPr>
                <w:rFonts w:ascii="Times;serif" w:hAnsi="Times;serif"/>
                <w:color w:val="0000FF"/>
                <w:sz w:val="24"/>
                <w:shd w:fill="FFFFFF" w:val="clear"/>
              </w:rPr>
              <w:t>BRNS</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former 10% owner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09/09/2026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pPr>
            <w:r>
              <w:rPr>
                <w:rFonts w:ascii="arial;helvetica;sans-serif" w:hAnsi="arial;helvetica;sans-serif"/>
                <w:sz w:val="20"/>
              </w:rPr>
              <w:t>4. If Amendment, Date of Original Filed (Month/Day/Year)</w:t>
            </w:r>
            <w:r>
              <w:rPr/>
              <w:br/>
            </w:r>
            <w:r>
              <w:rPr>
                <w:rFonts w:ascii="Times;serif" w:hAnsi="Times;serif"/>
                <w:color w:val="0000FF"/>
                <w:sz w:val="24"/>
                <w:shd w:fill="FFFFFF" w:val="clear"/>
              </w:rPr>
              <w:t>05/06/2021</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04"/>
        <w:gridCol w:w="900"/>
        <w:gridCol w:w="771"/>
        <w:gridCol w:w="597"/>
        <w:gridCol w:w="342"/>
        <w:gridCol w:w="1136"/>
        <w:gridCol w:w="439"/>
        <w:gridCol w:w="789"/>
        <w:gridCol w:w="1136"/>
        <w:gridCol w:w="977"/>
        <w:gridCol w:w="91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0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3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64"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0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13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8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0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Ordinary Shares</w:t>
            </w:r>
            <w:r>
              <w:rPr>
                <w:rFonts w:ascii="Times;serif" w:hAnsi="Times;serif"/>
                <w:color w:val="008000"/>
                <w:position w:val="7"/>
                <w:sz w:val="16"/>
                <w:sz w:val="20"/>
                <w:shd w:fill="FFFFFF" w:val="clear"/>
              </w:rPr>
              <w:t>(1)</w:t>
            </w:r>
          </w:p>
        </w:tc>
        <w:tc>
          <w:tcPr>
            <w:tcW w:w="9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09/09/2026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U</w:t>
            </w:r>
          </w:p>
        </w:tc>
        <w:tc>
          <w:tcPr>
            <w:tcW w:w="34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8,797,770</w:t>
            </w:r>
          </w:p>
        </w:tc>
        <w:tc>
          <w:tcPr>
            <w:tcW w:w="43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8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0.111</w:t>
            </w:r>
            <w:r>
              <w:rPr>
                <w:rFonts w:ascii="Times;serif" w:hAnsi="Times;serif"/>
                <w:color w:val="008000"/>
                <w:position w:val="7"/>
                <w:sz w:val="16"/>
                <w:sz w:val="20"/>
                <w:shd w:fill="FFFFFF" w:val="clear"/>
              </w:rPr>
              <w:t>(2)</w:t>
            </w:r>
          </w:p>
        </w:tc>
        <w:tc>
          <w:tcPr>
            <w:tcW w:w="11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97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Ordinary Shares may be represented by American Depositary Shares, each of which represents one Ordinary Share.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Pursuant to the terms of the Merger Agreement between Barinthus Biotherapeutics plc (the "Issuer") and Clywedog Therapeutics, Inc., the Issuer's board of directors has determined that each of the Issuer's outstanding Ordinary Shares (represented by American Depositary Shares) will be converted into the right to receive 0.111 shares of Beacon Topco, Inc.'s common stock, plus cash in lieu of any fractional shares resulting from the exchange, in accordance with the scheme of arrangement.</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In connection with the combination of Barinthus Biotherapeutics plc and Clywedog Therapeutics, Inc., Oxford Science Enterprises plc no longer beneficially owns more than 10% of the Issuer's Ordinary Shares, represented by American Depositary Shares. As a result, Oxford Science Enterprises plc is no longer subject to Section 16 of the U.S. Securities Exchange Act of 1934 with respect to the Issuer's Ordinary Shares and will no longer report transactions on Form 4 or Form 5.</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/S/Antonia Jenkinson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56079" TargetMode="External"/><Relationship Id="rId5" Type="http://schemas.openxmlformats.org/officeDocument/2006/relationships/hyperlink" Target="http://www.sec.gov/cgi-bin/browse-edgar?action=getcompany&amp;CIK=000182818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732</Words>
  <Characters>4034</Characters>
  <CharactersWithSpaces>4696</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