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57-4_4seq1.xml.htm"/>
      <w:bookmarkStart w:id="1" w:name="kstm2625057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Hooftman Leon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BARINTHUS BIOTHERAPEUTICS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20400 CENTURY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Barinthus Biotherapeutics plc.</w:t>
              </w:r>
            </w:hyperlink>
            <w:r>
              <w:rPr/>
              <w:t xml:space="preserve"> [ </w:t>
            </w:r>
            <w:r>
              <w:rPr>
                <w:rFonts w:ascii="Times;serif" w:hAnsi="Times;serif"/>
                <w:color w:val="0000FF"/>
                <w:sz w:val="24"/>
                <w:shd w:fill="FFFFFF" w:val="clear"/>
              </w:rPr>
              <w:t>BRNS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4"/>
        <w:gridCol w:w="773"/>
        <w:gridCol w:w="600"/>
        <w:gridCol w:w="349"/>
        <w:gridCol w:w="1059"/>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361,530</w:t>
            </w:r>
            <w:r>
              <w:rPr>
                <w:rFonts w:ascii="Times;serif" w:hAnsi="Times;serif"/>
                <w:color w:val="008000"/>
                <w:position w:val="7"/>
                <w:sz w:val="16"/>
                <w:sz w:val="20"/>
                <w:shd w:fill="FFFFFF" w:val="clear"/>
              </w:rPr>
              <w:t>(3)</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361,530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361,530</w:t>
            </w:r>
            <w:r>
              <w:rPr>
                <w:rFonts w:ascii="Times;serif" w:hAnsi="Times;serif"/>
                <w:color w:val="008000"/>
                <w:position w:val="7"/>
                <w:sz w:val="16"/>
                <w:sz w:val="20"/>
                <w:shd w:fill="FFFFFF" w:val="clear"/>
              </w:rPr>
              <w:t>(3)</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("ADSs" and together with the Ordinary Shares, the "Shares"), each of which currently represents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reports securities transacted in connection with the Agreement and Plan of Merger, dated September 29, 2025, as amended (the "Merger Agreement") by and among the Issuer, Beacon Topco, Inc. ("Topco"), a Delaware corporation and a direct wholly owned subsidiary of the Issuer, Cdog Merger Sub, Inc., a Delaware corporation and a direct wholly owned subsidiary of Topco, and Clywedog Therapeutics, Inc., a Delaware corporation. On September 9, 2026 (the "Effective Time"), in connection with the effectiveness of the scheme of arrangement under Part 26 of the United Kingdom Companies Act 2006 (the "Scheme") contemplated by the Merger Agreement, Topco acquired the entire issued share capital of the Issuer, resulting in the Issuer becoming a direct wholly owned subsidiary of Topco.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share units ("RSUs") previously granted to the Reporting Person, vesting of which was subject to completion of the transactions contemplated by the Merger Agreement. Each RSU represented the contingent right to receive one Share of the Issuer. At the Effective time, each RSU, whether or not then vested, was automatically released in consideration of the assumption of such RSU by Topco and converted into an RSU relating to the common stock, $0.0001 par value per share, of Topco (the "Topco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at the Effective Time, each option to acquire Shares under the Issuer's equity plans that was outstanding as of immediately prior to the Effective Time ceased to represent a right to acquire Shares of the Issuer, and was converted into an option to acquire shares of Topco Common Stock and assumed by Topco on the same terms and conditions (including applicable vesting and exercisability conditions) as were applicable to such option immediately prior to the Effective Time.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Enright,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7157" TargetMode="External"/><Relationship Id="rId5" Type="http://schemas.openxmlformats.org/officeDocument/2006/relationships/hyperlink" Target="http://www.sec.gov/cgi-bin/browse-edgar?action=getcompany&amp;CIK=00018281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5066</Characters>
  <CharactersWithSpaces>5891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